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2D08" w14:textId="140CD91D" w:rsidR="001A56DA" w:rsidRDefault="001A56DA" w:rsidP="001A56DA">
      <w:pPr>
        <w:spacing w:line="360" w:lineRule="auto"/>
        <w:jc w:val="center"/>
        <w:rPr>
          <w:rFonts w:ascii="Arial" w:hAnsi="Arial" w:cs="Arial"/>
          <w:sz w:val="23"/>
          <w:szCs w:val="23"/>
          <w:lang w:val="en-US"/>
        </w:rPr>
      </w:pPr>
      <w:r>
        <w:rPr>
          <w:rFonts w:ascii="Arial" w:eastAsia="Times New Roman" w:hAnsi="Arial" w:cs="Arial"/>
          <w:b/>
          <w:bCs/>
          <w:color w:val="000000"/>
          <w:kern w:val="32"/>
          <w:sz w:val="32"/>
          <w:szCs w:val="24"/>
          <w:lang w:eastAsia="en-GB"/>
        </w:rPr>
        <w:t>VISITING JUSTICE</w:t>
      </w:r>
    </w:p>
    <w:p w14:paraId="54B01E77" w14:textId="2DBCC98E" w:rsidR="001A56DA" w:rsidRDefault="001A56DA" w:rsidP="001A56DA">
      <w:pPr>
        <w:spacing w:before="240" w:after="240" w:line="360" w:lineRule="auto"/>
        <w:jc w:val="both"/>
        <w:rPr>
          <w:rFonts w:ascii="Arial" w:hAnsi="Arial" w:cs="Arial"/>
          <w:sz w:val="23"/>
          <w:szCs w:val="23"/>
          <w:lang w:val="en-US"/>
        </w:rPr>
      </w:pPr>
      <w:r w:rsidRPr="00C247B4">
        <w:rPr>
          <w:rFonts w:ascii="Arial" w:hAnsi="Arial" w:cs="Arial"/>
          <w:sz w:val="23"/>
          <w:szCs w:val="23"/>
          <w:lang w:val="en-US"/>
        </w:rPr>
        <w:t xml:space="preserve">Expressions of interest are invited from persons wishing to be considered for appointment as a </w:t>
      </w:r>
      <w:r>
        <w:rPr>
          <w:rFonts w:ascii="Arial" w:hAnsi="Arial" w:cs="Arial"/>
          <w:sz w:val="23"/>
          <w:szCs w:val="23"/>
          <w:lang w:val="en-US"/>
        </w:rPr>
        <w:t>Visiting Justice</w:t>
      </w:r>
      <w:r w:rsidR="00035C5B">
        <w:rPr>
          <w:rFonts w:ascii="Arial" w:hAnsi="Arial" w:cs="Arial"/>
          <w:sz w:val="23"/>
          <w:szCs w:val="23"/>
          <w:lang w:val="en-US"/>
        </w:rPr>
        <w:t xml:space="preserve"> in the following areas:</w:t>
      </w:r>
    </w:p>
    <w:p w14:paraId="3E8D1C16" w14:textId="1CCD20AF" w:rsidR="00035C5B" w:rsidRPr="00B47DE2" w:rsidRDefault="00035C5B" w:rsidP="00035C5B">
      <w:pPr>
        <w:pStyle w:val="ListParagraph"/>
        <w:numPr>
          <w:ilvl w:val="0"/>
          <w:numId w:val="5"/>
        </w:numPr>
        <w:spacing w:before="240" w:after="240" w:line="360" w:lineRule="auto"/>
        <w:jc w:val="both"/>
        <w:rPr>
          <w:rFonts w:ascii="Arial" w:hAnsi="Arial" w:cs="Arial"/>
          <w:sz w:val="23"/>
          <w:szCs w:val="23"/>
          <w:lang w:val="en-US"/>
        </w:rPr>
      </w:pPr>
      <w:r w:rsidRPr="00B47DE2">
        <w:rPr>
          <w:rFonts w:ascii="Arial" w:hAnsi="Arial" w:cs="Arial"/>
          <w:sz w:val="23"/>
          <w:szCs w:val="23"/>
          <w:lang w:val="en-US"/>
        </w:rPr>
        <w:t>Whanganui</w:t>
      </w:r>
    </w:p>
    <w:p w14:paraId="046B9F56" w14:textId="24D38757" w:rsidR="00035C5B" w:rsidRPr="00B47DE2" w:rsidRDefault="00035C5B" w:rsidP="00035C5B">
      <w:pPr>
        <w:pStyle w:val="ListParagraph"/>
        <w:numPr>
          <w:ilvl w:val="0"/>
          <w:numId w:val="5"/>
        </w:numPr>
        <w:spacing w:before="240" w:after="240" w:line="360" w:lineRule="auto"/>
        <w:jc w:val="both"/>
        <w:rPr>
          <w:rFonts w:ascii="Arial" w:hAnsi="Arial" w:cs="Arial"/>
          <w:sz w:val="23"/>
          <w:szCs w:val="23"/>
          <w:lang w:val="en-US"/>
        </w:rPr>
      </w:pPr>
      <w:r w:rsidRPr="00B47DE2">
        <w:rPr>
          <w:rFonts w:ascii="Arial" w:hAnsi="Arial" w:cs="Arial"/>
          <w:sz w:val="23"/>
          <w:szCs w:val="23"/>
          <w:lang w:val="en-US"/>
        </w:rPr>
        <w:t>Manawatu</w:t>
      </w:r>
    </w:p>
    <w:p w14:paraId="61FBDE55" w14:textId="55DE94C3" w:rsidR="00035C5B" w:rsidRPr="00B47DE2" w:rsidRDefault="00035C5B" w:rsidP="00035C5B">
      <w:pPr>
        <w:pStyle w:val="ListParagraph"/>
        <w:numPr>
          <w:ilvl w:val="0"/>
          <w:numId w:val="5"/>
        </w:numPr>
        <w:spacing w:before="240" w:after="240" w:line="360" w:lineRule="auto"/>
        <w:jc w:val="both"/>
        <w:rPr>
          <w:rFonts w:ascii="Arial" w:hAnsi="Arial" w:cs="Arial"/>
          <w:sz w:val="23"/>
          <w:szCs w:val="23"/>
          <w:lang w:val="en-US"/>
        </w:rPr>
      </w:pPr>
      <w:r w:rsidRPr="00B47DE2">
        <w:rPr>
          <w:rFonts w:ascii="Arial" w:hAnsi="Arial" w:cs="Arial"/>
          <w:sz w:val="23"/>
          <w:szCs w:val="23"/>
          <w:lang w:val="en-US"/>
        </w:rPr>
        <w:t>Canterbury</w:t>
      </w:r>
    </w:p>
    <w:p w14:paraId="56FDF0FA" w14:textId="5AE99531" w:rsidR="00035C5B" w:rsidRPr="00B47DE2" w:rsidRDefault="00035C5B" w:rsidP="00035C5B">
      <w:pPr>
        <w:pStyle w:val="ListParagraph"/>
        <w:numPr>
          <w:ilvl w:val="0"/>
          <w:numId w:val="5"/>
        </w:numPr>
        <w:spacing w:before="240" w:after="240" w:line="360" w:lineRule="auto"/>
        <w:jc w:val="both"/>
        <w:rPr>
          <w:rFonts w:ascii="Arial" w:hAnsi="Arial" w:cs="Arial"/>
          <w:sz w:val="23"/>
          <w:szCs w:val="23"/>
          <w:lang w:val="en-US"/>
        </w:rPr>
      </w:pPr>
      <w:r w:rsidRPr="00B47DE2">
        <w:rPr>
          <w:rFonts w:ascii="Arial" w:hAnsi="Arial" w:cs="Arial"/>
          <w:sz w:val="23"/>
          <w:szCs w:val="23"/>
          <w:lang w:val="en-US"/>
        </w:rPr>
        <w:t>Otago</w:t>
      </w:r>
    </w:p>
    <w:p w14:paraId="4E0D6778" w14:textId="41729C3B" w:rsidR="00035C5B" w:rsidRPr="00B47DE2" w:rsidRDefault="00035C5B" w:rsidP="00035C5B">
      <w:pPr>
        <w:pStyle w:val="ListParagraph"/>
        <w:numPr>
          <w:ilvl w:val="0"/>
          <w:numId w:val="5"/>
        </w:numPr>
        <w:spacing w:before="240" w:after="240" w:line="360" w:lineRule="auto"/>
        <w:jc w:val="both"/>
        <w:rPr>
          <w:rFonts w:ascii="Arial" w:hAnsi="Arial" w:cs="Arial"/>
          <w:sz w:val="23"/>
          <w:szCs w:val="23"/>
          <w:lang w:val="en-US"/>
        </w:rPr>
      </w:pPr>
      <w:r w:rsidRPr="00B47DE2">
        <w:rPr>
          <w:rFonts w:ascii="Arial" w:hAnsi="Arial" w:cs="Arial"/>
          <w:sz w:val="23"/>
          <w:szCs w:val="23"/>
          <w:lang w:val="en-US"/>
        </w:rPr>
        <w:t>Invercargill</w:t>
      </w:r>
    </w:p>
    <w:p w14:paraId="3CB5D188" w14:textId="1B105476" w:rsidR="001A56DA" w:rsidRDefault="00035C5B" w:rsidP="001A56DA">
      <w:pPr>
        <w:spacing w:before="240" w:after="240" w:line="360" w:lineRule="auto"/>
        <w:jc w:val="both"/>
        <w:rPr>
          <w:rFonts w:ascii="Arial" w:hAnsi="Arial" w:cs="Arial"/>
          <w:sz w:val="23"/>
          <w:szCs w:val="23"/>
          <w:lang w:val="en-US"/>
        </w:rPr>
      </w:pPr>
      <w:r w:rsidRPr="00035C5B">
        <w:rPr>
          <w:rFonts w:ascii="Arial" w:hAnsi="Arial" w:cs="Arial"/>
          <w:sz w:val="23"/>
          <w:szCs w:val="23"/>
          <w:lang w:val="en-US"/>
        </w:rPr>
        <w:t xml:space="preserve">Section 19 (2) of the Corrections Act 2004 provides that the Governor-General may, on the recommendation of the Minister of Justice, appoint any Justice of the Peace or barrister or solicitor of the High Court to be a Visiting Justice for every prison.  </w:t>
      </w:r>
      <w:r w:rsidR="001A56DA" w:rsidRPr="001A56DA">
        <w:rPr>
          <w:rFonts w:ascii="Arial" w:hAnsi="Arial" w:cs="Arial"/>
          <w:sz w:val="23"/>
          <w:szCs w:val="23"/>
          <w:lang w:val="en-US"/>
        </w:rPr>
        <w:t>Under section 19(4) of the Act Visiting Justices have the following powers in respect of each prison</w:t>
      </w:r>
      <w:r>
        <w:rPr>
          <w:rFonts w:ascii="Arial" w:hAnsi="Arial" w:cs="Arial"/>
          <w:sz w:val="23"/>
          <w:szCs w:val="23"/>
          <w:lang w:val="en-US"/>
        </w:rPr>
        <w:t>.</w:t>
      </w:r>
    </w:p>
    <w:p w14:paraId="5C8500A4" w14:textId="26847C4F" w:rsidR="00035C5B" w:rsidRDefault="00035C5B" w:rsidP="001A56DA">
      <w:pPr>
        <w:spacing w:before="240" w:after="240" w:line="360" w:lineRule="auto"/>
        <w:jc w:val="both"/>
        <w:rPr>
          <w:rFonts w:ascii="Arial" w:hAnsi="Arial" w:cs="Arial"/>
          <w:sz w:val="23"/>
          <w:szCs w:val="23"/>
          <w:lang w:val="en-US"/>
        </w:rPr>
      </w:pPr>
      <w:r w:rsidRPr="00035C5B">
        <w:rPr>
          <w:rFonts w:ascii="Arial" w:hAnsi="Arial" w:cs="Arial"/>
          <w:sz w:val="23"/>
          <w:szCs w:val="23"/>
          <w:lang w:val="en-US"/>
        </w:rPr>
        <w:t>The central function of Visiting Justices is to hear charges and appeals relating to offences against prison discipline. They also review decisions to detain a prisoner in a police jail, to segregate a prisoner. Occasionally, Visiting Justices undertake inquiries into aspects of prison administration and the treatment of prisoners.  They have statutory powers to conduct such inquiries and to report their findings to the chief executive of the Department of Corrections</w:t>
      </w:r>
    </w:p>
    <w:p w14:paraId="62F37391" w14:textId="1D64F386" w:rsidR="00035C5B" w:rsidRDefault="00035C5B" w:rsidP="001A56DA">
      <w:pPr>
        <w:spacing w:before="240" w:after="240" w:line="360" w:lineRule="auto"/>
        <w:jc w:val="both"/>
        <w:rPr>
          <w:rFonts w:ascii="Arial" w:hAnsi="Arial" w:cs="Arial"/>
          <w:sz w:val="23"/>
          <w:szCs w:val="23"/>
          <w:lang w:val="en-US"/>
        </w:rPr>
      </w:pPr>
      <w:r w:rsidRPr="00035C5B">
        <w:rPr>
          <w:rFonts w:ascii="Arial" w:hAnsi="Arial" w:cs="Arial"/>
          <w:sz w:val="23"/>
          <w:szCs w:val="23"/>
          <w:lang w:val="en-US"/>
        </w:rPr>
        <w:t>In addition to a sound knowledge of the governing legislation and an interest in access to justice issues, appointees will need to have:</w:t>
      </w:r>
    </w:p>
    <w:p w14:paraId="32DBEE65" w14:textId="77777777" w:rsidR="00035C5B" w:rsidRPr="00035C5B" w:rsidRDefault="00035C5B" w:rsidP="00035C5B">
      <w:pPr>
        <w:pStyle w:val="ListParagraph"/>
        <w:numPr>
          <w:ilvl w:val="0"/>
          <w:numId w:val="6"/>
        </w:numPr>
        <w:spacing w:before="240" w:line="360" w:lineRule="auto"/>
        <w:contextualSpacing w:val="0"/>
        <w:jc w:val="both"/>
        <w:rPr>
          <w:rFonts w:ascii="Arial" w:hAnsi="Arial" w:cs="Arial"/>
          <w:sz w:val="23"/>
          <w:szCs w:val="23"/>
        </w:rPr>
      </w:pPr>
      <w:r w:rsidRPr="00035C5B">
        <w:rPr>
          <w:rFonts w:ascii="Arial" w:hAnsi="Arial" w:cs="Arial"/>
          <w:sz w:val="23"/>
          <w:szCs w:val="23"/>
        </w:rPr>
        <w:t>Relevant qualifications and or experience</w:t>
      </w:r>
    </w:p>
    <w:p w14:paraId="3A5566D8" w14:textId="77777777" w:rsidR="00035C5B" w:rsidRPr="00035C5B" w:rsidRDefault="00035C5B" w:rsidP="00035C5B">
      <w:pPr>
        <w:pStyle w:val="ListParagraph"/>
        <w:numPr>
          <w:ilvl w:val="0"/>
          <w:numId w:val="6"/>
        </w:numPr>
        <w:spacing w:before="240" w:line="360" w:lineRule="auto"/>
        <w:contextualSpacing w:val="0"/>
        <w:jc w:val="both"/>
        <w:rPr>
          <w:rFonts w:ascii="Arial" w:hAnsi="Arial" w:cs="Arial"/>
          <w:sz w:val="23"/>
          <w:szCs w:val="23"/>
        </w:rPr>
      </w:pPr>
      <w:r w:rsidRPr="00035C5B">
        <w:rPr>
          <w:rFonts w:ascii="Arial" w:hAnsi="Arial" w:cs="Arial"/>
          <w:sz w:val="23"/>
          <w:szCs w:val="23"/>
        </w:rPr>
        <w:t xml:space="preserve">Impartiality, open mindedness and good judgement </w:t>
      </w:r>
    </w:p>
    <w:p w14:paraId="79573140" w14:textId="234AFC85" w:rsidR="00035C5B" w:rsidRPr="00035C5B" w:rsidRDefault="00FF3C6D" w:rsidP="00035C5B">
      <w:pPr>
        <w:pStyle w:val="ListParagraph"/>
        <w:numPr>
          <w:ilvl w:val="0"/>
          <w:numId w:val="6"/>
        </w:numPr>
        <w:spacing w:before="240" w:line="360" w:lineRule="auto"/>
        <w:contextualSpacing w:val="0"/>
        <w:jc w:val="both"/>
        <w:rPr>
          <w:rFonts w:ascii="Arial" w:hAnsi="Arial" w:cs="Arial"/>
          <w:sz w:val="23"/>
          <w:szCs w:val="23"/>
        </w:rPr>
      </w:pPr>
      <w:r>
        <w:rPr>
          <w:rFonts w:ascii="Arial" w:hAnsi="Arial" w:cs="Arial"/>
          <w:sz w:val="23"/>
          <w:szCs w:val="23"/>
        </w:rPr>
        <w:t>Sound decision-making abilities</w:t>
      </w:r>
    </w:p>
    <w:p w14:paraId="21095AB7" w14:textId="77777777" w:rsidR="00035C5B" w:rsidRPr="00035C5B" w:rsidRDefault="00035C5B" w:rsidP="00035C5B">
      <w:pPr>
        <w:pStyle w:val="ListParagraph"/>
        <w:numPr>
          <w:ilvl w:val="0"/>
          <w:numId w:val="6"/>
        </w:numPr>
        <w:spacing w:before="240" w:line="360" w:lineRule="auto"/>
        <w:contextualSpacing w:val="0"/>
        <w:jc w:val="both"/>
        <w:rPr>
          <w:rFonts w:ascii="Arial" w:hAnsi="Arial" w:cs="Arial"/>
          <w:sz w:val="23"/>
          <w:szCs w:val="23"/>
        </w:rPr>
      </w:pPr>
      <w:r w:rsidRPr="00035C5B">
        <w:rPr>
          <w:rFonts w:ascii="Arial" w:hAnsi="Arial" w:cs="Arial"/>
          <w:sz w:val="23"/>
          <w:szCs w:val="23"/>
        </w:rPr>
        <w:t>Integrity</w:t>
      </w:r>
    </w:p>
    <w:p w14:paraId="7EE9D8B2" w14:textId="77777777" w:rsidR="00035C5B" w:rsidRPr="00035C5B" w:rsidRDefault="00035C5B" w:rsidP="00035C5B">
      <w:pPr>
        <w:pStyle w:val="ListParagraph"/>
        <w:numPr>
          <w:ilvl w:val="0"/>
          <w:numId w:val="6"/>
        </w:numPr>
        <w:spacing w:before="240" w:line="360" w:lineRule="auto"/>
        <w:contextualSpacing w:val="0"/>
        <w:jc w:val="both"/>
        <w:rPr>
          <w:rFonts w:ascii="Arial" w:hAnsi="Arial" w:cs="Arial"/>
          <w:sz w:val="23"/>
          <w:szCs w:val="23"/>
        </w:rPr>
      </w:pPr>
      <w:r w:rsidRPr="00035C5B">
        <w:rPr>
          <w:rFonts w:ascii="Arial" w:hAnsi="Arial" w:cs="Arial"/>
          <w:sz w:val="23"/>
          <w:szCs w:val="23"/>
        </w:rPr>
        <w:t>Listening and communication skills</w:t>
      </w:r>
    </w:p>
    <w:p w14:paraId="6C2B2A09" w14:textId="58D397B5" w:rsidR="00035C5B" w:rsidRPr="00035C5B" w:rsidRDefault="00035C5B" w:rsidP="00035C5B">
      <w:pPr>
        <w:pStyle w:val="ListParagraph"/>
        <w:numPr>
          <w:ilvl w:val="0"/>
          <w:numId w:val="6"/>
        </w:numPr>
        <w:spacing w:before="240" w:line="360" w:lineRule="auto"/>
        <w:contextualSpacing w:val="0"/>
        <w:jc w:val="both"/>
        <w:rPr>
          <w:rFonts w:ascii="Arial" w:hAnsi="Arial" w:cs="Arial"/>
          <w:sz w:val="23"/>
          <w:szCs w:val="23"/>
        </w:rPr>
      </w:pPr>
      <w:r w:rsidRPr="00035C5B">
        <w:rPr>
          <w:rFonts w:ascii="Arial" w:hAnsi="Arial" w:cs="Arial"/>
          <w:sz w:val="23"/>
          <w:szCs w:val="23"/>
        </w:rPr>
        <w:t>Awareness and sensitivity to the place of the Treaty of Waitangi in New Zealand’s constitution and the diversity of New Zealand society</w:t>
      </w:r>
      <w:r w:rsidR="00FF3C6D">
        <w:rPr>
          <w:rFonts w:ascii="Arial" w:hAnsi="Arial" w:cs="Arial"/>
          <w:sz w:val="23"/>
          <w:szCs w:val="23"/>
        </w:rPr>
        <w:t>.</w:t>
      </w:r>
    </w:p>
    <w:p w14:paraId="44DF1D04" w14:textId="40CE7404" w:rsidR="00035C5B" w:rsidRDefault="00035C5B" w:rsidP="001A56DA">
      <w:pPr>
        <w:spacing w:before="240" w:after="240" w:line="360" w:lineRule="auto"/>
        <w:jc w:val="both"/>
        <w:rPr>
          <w:rFonts w:ascii="Arial" w:hAnsi="Arial" w:cs="Arial"/>
          <w:sz w:val="23"/>
          <w:szCs w:val="23"/>
          <w:lang w:val="en-US"/>
        </w:rPr>
      </w:pPr>
      <w:r w:rsidRPr="00035C5B">
        <w:rPr>
          <w:rFonts w:ascii="Arial" w:hAnsi="Arial" w:cs="Arial"/>
          <w:sz w:val="23"/>
          <w:szCs w:val="23"/>
          <w:lang w:val="en-US"/>
        </w:rPr>
        <w:lastRenderedPageBreak/>
        <w:t>Visiting Justices hold office for a term of 3 years and may, from time to time, be reappointed.</w:t>
      </w:r>
    </w:p>
    <w:p w14:paraId="1929C393" w14:textId="77777777" w:rsidR="001A56DA" w:rsidRDefault="001A56DA" w:rsidP="001A56DA">
      <w:pPr>
        <w:spacing w:line="360" w:lineRule="auto"/>
        <w:jc w:val="both"/>
        <w:rPr>
          <w:rFonts w:ascii="Arial" w:hAnsi="Arial" w:cs="Arial"/>
          <w:sz w:val="23"/>
          <w:szCs w:val="23"/>
          <w:highlight w:val="yellow"/>
        </w:rPr>
      </w:pPr>
      <w:bookmarkStart w:id="0" w:name="_Hlk66178730"/>
    </w:p>
    <w:p w14:paraId="7F3A5174" w14:textId="7C395FF7" w:rsidR="001A56DA" w:rsidRPr="001A56DA" w:rsidRDefault="001A56DA" w:rsidP="001A56DA">
      <w:pPr>
        <w:spacing w:line="360" w:lineRule="auto"/>
        <w:jc w:val="both"/>
        <w:rPr>
          <w:rFonts w:ascii="Arial" w:hAnsi="Arial" w:cs="Arial"/>
          <w:sz w:val="23"/>
          <w:szCs w:val="23"/>
        </w:rPr>
      </w:pPr>
      <w:r w:rsidRPr="001A56DA">
        <w:rPr>
          <w:rFonts w:ascii="Arial" w:hAnsi="Arial" w:cs="Arial"/>
          <w:sz w:val="23"/>
          <w:szCs w:val="23"/>
        </w:rPr>
        <w:t>Expressions of interest are sought by</w:t>
      </w:r>
      <w:bookmarkEnd w:id="0"/>
      <w:r w:rsidRPr="001A56DA">
        <w:rPr>
          <w:rFonts w:ascii="Arial" w:hAnsi="Arial" w:cs="Arial"/>
          <w:sz w:val="23"/>
          <w:szCs w:val="23"/>
        </w:rPr>
        <w:t xml:space="preserve"> </w:t>
      </w:r>
      <w:r w:rsidRPr="001A56DA">
        <w:rPr>
          <w:rFonts w:ascii="Arial" w:hAnsi="Arial" w:cs="Arial"/>
          <w:b/>
          <w:bCs/>
          <w:sz w:val="23"/>
          <w:szCs w:val="23"/>
        </w:rPr>
        <w:t xml:space="preserve">Friday </w:t>
      </w:r>
      <w:r w:rsidR="007664BC">
        <w:rPr>
          <w:rFonts w:ascii="Arial" w:hAnsi="Arial" w:cs="Arial"/>
          <w:b/>
          <w:bCs/>
          <w:sz w:val="23"/>
          <w:szCs w:val="23"/>
        </w:rPr>
        <w:t>6</w:t>
      </w:r>
      <w:r w:rsidRPr="001A56DA">
        <w:rPr>
          <w:rFonts w:ascii="Arial" w:hAnsi="Arial" w:cs="Arial"/>
          <w:b/>
          <w:bCs/>
          <w:sz w:val="23"/>
          <w:szCs w:val="23"/>
        </w:rPr>
        <w:t xml:space="preserve"> June 2022 </w:t>
      </w:r>
      <w:r w:rsidRPr="001A56DA">
        <w:rPr>
          <w:rFonts w:ascii="Arial" w:hAnsi="Arial" w:cs="Arial"/>
          <w:sz w:val="23"/>
          <w:szCs w:val="23"/>
        </w:rPr>
        <w:t>and should be emailed to</w:t>
      </w:r>
      <w:r w:rsidRPr="001A56DA">
        <w:rPr>
          <w:rFonts w:ascii="Arial" w:hAnsi="Arial" w:cs="Arial"/>
          <w:b/>
          <w:bCs/>
          <w:sz w:val="23"/>
          <w:szCs w:val="23"/>
        </w:rPr>
        <w:t xml:space="preserve"> </w:t>
      </w:r>
      <w:hyperlink r:id="rId5" w:history="1">
        <w:r w:rsidRPr="001A56DA">
          <w:rPr>
            <w:rStyle w:val="Hyperlink"/>
            <w:rFonts w:ascii="Arial" w:hAnsi="Arial" w:cs="Arial"/>
            <w:sz w:val="23"/>
            <w:szCs w:val="23"/>
            <w:lang w:val="mi-NZ"/>
          </w:rPr>
          <w:t>General.OLC@justice.govt.nz</w:t>
        </w:r>
      </w:hyperlink>
      <w:r w:rsidRPr="001A56DA">
        <w:rPr>
          <w:rStyle w:val="Hyperlink"/>
          <w:rFonts w:ascii="Arial" w:hAnsi="Arial" w:cs="Arial"/>
          <w:sz w:val="23"/>
          <w:szCs w:val="23"/>
          <w:lang w:val="mi-NZ"/>
        </w:rPr>
        <w:t>.</w:t>
      </w:r>
      <w:r w:rsidRPr="001A56DA">
        <w:rPr>
          <w:rFonts w:ascii="Arial" w:hAnsi="Arial" w:cs="Arial"/>
          <w:sz w:val="23"/>
          <w:szCs w:val="23"/>
        </w:rPr>
        <w:t xml:space="preserve"> Please include a full curriculum vitae and cover letter, together with completed expression of interest forms.</w:t>
      </w:r>
    </w:p>
    <w:p w14:paraId="7B53BAF6" w14:textId="77777777" w:rsidR="001A56DA" w:rsidRPr="001A56DA" w:rsidRDefault="001A56DA" w:rsidP="001A56DA">
      <w:pPr>
        <w:spacing w:line="360" w:lineRule="auto"/>
        <w:ind w:right="-46"/>
        <w:rPr>
          <w:rFonts w:ascii="Arial" w:hAnsi="Arial" w:cs="Arial"/>
          <w:sz w:val="23"/>
          <w:szCs w:val="23"/>
          <w:highlight w:val="yellow"/>
        </w:rPr>
      </w:pPr>
    </w:p>
    <w:p w14:paraId="563857E4" w14:textId="77777777" w:rsidR="001A56DA" w:rsidRPr="001A56DA" w:rsidRDefault="001A56DA" w:rsidP="001A56DA">
      <w:pPr>
        <w:spacing w:line="360" w:lineRule="auto"/>
        <w:ind w:right="-46"/>
        <w:rPr>
          <w:rFonts w:ascii="Arial" w:hAnsi="Arial" w:cs="Arial"/>
          <w:sz w:val="23"/>
          <w:szCs w:val="23"/>
          <w:highlight w:val="yellow"/>
          <w:u w:val="single"/>
        </w:rPr>
      </w:pPr>
      <w:r w:rsidRPr="001A56DA">
        <w:rPr>
          <w:rFonts w:ascii="Arial" w:hAnsi="Arial" w:cs="Arial"/>
          <w:sz w:val="23"/>
          <w:szCs w:val="23"/>
          <w:highlight w:val="yellow"/>
          <w:u w:val="single"/>
        </w:rPr>
        <w:t>Links</w:t>
      </w:r>
    </w:p>
    <w:p w14:paraId="4A90AEA7" w14:textId="77777777" w:rsidR="001A56DA" w:rsidRPr="001A56DA" w:rsidRDefault="001A56DA" w:rsidP="001A56DA">
      <w:pPr>
        <w:pStyle w:val="BodyText"/>
        <w:spacing w:after="0" w:line="480" w:lineRule="auto"/>
        <w:jc w:val="both"/>
        <w:rPr>
          <w:rFonts w:ascii="Arial" w:hAnsi="Arial" w:cs="Arial"/>
          <w:color w:val="000000"/>
          <w:sz w:val="23"/>
          <w:szCs w:val="23"/>
          <w:highlight w:val="yellow"/>
        </w:rPr>
      </w:pPr>
      <w:r w:rsidRPr="001A56DA">
        <w:rPr>
          <w:rFonts w:ascii="Arial" w:hAnsi="Arial" w:cs="Arial"/>
          <w:b/>
          <w:bCs/>
          <w:color w:val="000000"/>
          <w:sz w:val="23"/>
          <w:szCs w:val="23"/>
          <w:highlight w:val="yellow"/>
        </w:rPr>
        <w:t>Position description</w:t>
      </w:r>
      <w:r w:rsidRPr="001A56DA">
        <w:rPr>
          <w:rFonts w:ascii="Arial" w:hAnsi="Arial" w:cs="Arial"/>
          <w:color w:val="000000"/>
          <w:sz w:val="23"/>
          <w:szCs w:val="23"/>
          <w:highlight w:val="yellow"/>
        </w:rPr>
        <w:t xml:space="preserve"> (link)</w:t>
      </w:r>
    </w:p>
    <w:p w14:paraId="2B891AEE" w14:textId="77777777" w:rsidR="001A56DA" w:rsidRPr="00C247B4" w:rsidRDefault="001A56DA" w:rsidP="001A56DA">
      <w:pPr>
        <w:pStyle w:val="BodyText"/>
        <w:spacing w:after="0" w:line="480" w:lineRule="auto"/>
        <w:jc w:val="both"/>
        <w:rPr>
          <w:rFonts w:ascii="Arial" w:hAnsi="Arial" w:cs="Arial"/>
          <w:color w:val="000000"/>
          <w:sz w:val="23"/>
          <w:szCs w:val="23"/>
        </w:rPr>
      </w:pPr>
      <w:r w:rsidRPr="001A56DA">
        <w:rPr>
          <w:rFonts w:ascii="Arial" w:hAnsi="Arial" w:cs="Arial"/>
          <w:b/>
          <w:bCs/>
          <w:color w:val="000000"/>
          <w:sz w:val="23"/>
          <w:szCs w:val="23"/>
          <w:highlight w:val="yellow"/>
        </w:rPr>
        <w:t>Expression of Interest forms</w:t>
      </w:r>
      <w:r w:rsidRPr="001A56DA">
        <w:rPr>
          <w:rFonts w:ascii="Arial" w:hAnsi="Arial" w:cs="Arial"/>
          <w:color w:val="000000"/>
          <w:sz w:val="23"/>
          <w:szCs w:val="23"/>
          <w:highlight w:val="yellow"/>
        </w:rPr>
        <w:t xml:space="preserve"> (link)</w:t>
      </w:r>
    </w:p>
    <w:p w14:paraId="4CF06210" w14:textId="77777777" w:rsidR="0067528D" w:rsidRDefault="0067528D"/>
    <w:sectPr w:rsidR="00675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3236"/>
    <w:multiLevelType w:val="hybridMultilevel"/>
    <w:tmpl w:val="B5ECA644"/>
    <w:lvl w:ilvl="0" w:tplc="7D20C762">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9239B6"/>
    <w:multiLevelType w:val="hybridMultilevel"/>
    <w:tmpl w:val="A56A601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 w15:restartNumberingAfterBreak="0">
    <w:nsid w:val="36BE514F"/>
    <w:multiLevelType w:val="hybridMultilevel"/>
    <w:tmpl w:val="AC70C3CE"/>
    <w:lvl w:ilvl="0" w:tplc="6F0A2A36">
      <w:start w:val="1"/>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50C974BB"/>
    <w:multiLevelType w:val="hybridMultilevel"/>
    <w:tmpl w:val="E8D273C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60032824"/>
    <w:multiLevelType w:val="hybridMultilevel"/>
    <w:tmpl w:val="6CB48E6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444F4"/>
    <w:multiLevelType w:val="hybridMultilevel"/>
    <w:tmpl w:val="04301B52"/>
    <w:lvl w:ilvl="0" w:tplc="14090001">
      <w:start w:val="1"/>
      <w:numFmt w:val="bullet"/>
      <w:lvlText w:val=""/>
      <w:lvlJc w:val="left"/>
      <w:pPr>
        <w:tabs>
          <w:tab w:val="num" w:pos="720"/>
        </w:tabs>
        <w:ind w:left="720" w:hanging="360"/>
      </w:pPr>
      <w:rPr>
        <w:rFonts w:ascii="Symbol" w:hAnsi="Symbol"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8D"/>
    <w:rsid w:val="00035C5B"/>
    <w:rsid w:val="00053882"/>
    <w:rsid w:val="000C3C47"/>
    <w:rsid w:val="001A56DA"/>
    <w:rsid w:val="0044200E"/>
    <w:rsid w:val="0067528D"/>
    <w:rsid w:val="007664BC"/>
    <w:rsid w:val="0090030D"/>
    <w:rsid w:val="00B47DE2"/>
    <w:rsid w:val="00EE328D"/>
    <w:rsid w:val="00FF3C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177B"/>
  <w15:chartTrackingRefBased/>
  <w15:docId w15:val="{A4245C5D-D3EF-4157-BCFE-5D1161BF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A56DA"/>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1A56DA"/>
    <w:rPr>
      <w:rFonts w:ascii="Times New Roman" w:eastAsia="Times New Roman" w:hAnsi="Times New Roman" w:cs="Times New Roman"/>
      <w:sz w:val="24"/>
      <w:szCs w:val="20"/>
      <w:lang w:eastAsia="en-GB"/>
    </w:rPr>
  </w:style>
  <w:style w:type="character" w:styleId="Hyperlink">
    <w:name w:val="Hyperlink"/>
    <w:unhideWhenUsed/>
    <w:rsid w:val="001A56DA"/>
    <w:rPr>
      <w:color w:val="0000FF"/>
      <w:u w:val="single"/>
    </w:rPr>
  </w:style>
  <w:style w:type="paragraph" w:styleId="ListParagraph">
    <w:name w:val="List Paragraph"/>
    <w:basedOn w:val="Normal"/>
    <w:uiPriority w:val="34"/>
    <w:qFormat/>
    <w:rsid w:val="001A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ral.OLC@justice.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Flaus, Chris</dc:creator>
  <cp:keywords/>
  <dc:description/>
  <cp:lastModifiedBy>Flaus, Chris</cp:lastModifiedBy>
  <cp:revision>9</cp:revision>
  <dcterms:created xsi:type="dcterms:W3CDTF">2022-05-16T23:53:00Z</dcterms:created>
  <dcterms:modified xsi:type="dcterms:W3CDTF">2022-05-19T00:39:00Z</dcterms:modified>
</cp:coreProperties>
</file>